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15/2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27 декабря  2017 года                                                                  х. Клетский  </w:t>
      </w:r>
    </w:p>
    <w:p w:rsidR="004436F1" w:rsidRPr="004436F1" w:rsidRDefault="004436F1" w:rsidP="004436F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36F1" w:rsidRPr="004436F1" w:rsidRDefault="00EB4342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м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ой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="004436F1"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«Комплексное развитие систем транспортной инфраструктуры 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Среднеахтубинского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Волгоградской области на период 2017 -2023 годы»</w:t>
      </w:r>
    </w:p>
    <w:p w:rsidR="004436F1" w:rsidRPr="004436F1" w:rsidRDefault="004436F1" w:rsidP="004436F1">
      <w:pPr>
        <w:spacing w:line="360" w:lineRule="auto"/>
        <w:jc w:val="both"/>
        <w:rPr>
          <w:b/>
          <w:shd w:val="clear" w:color="auto" w:fill="FFFF00"/>
        </w:rPr>
      </w:pPr>
    </w:p>
    <w:p w:rsidR="004436F1" w:rsidRPr="004436F1" w:rsidRDefault="004436F1" w:rsidP="004436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Клетского сельского поселения,</w:t>
      </w:r>
      <w:r w:rsidRPr="00443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Федеральным законом от 6 октября 2003 г. N </w:t>
      </w:r>
      <w:hyperlink r:id="rId6" w:history="1">
        <w:r w:rsidRPr="004436F1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131-ФЗ</w:t>
        </w:r>
      </w:hyperlink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</w:t>
      </w:r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", Уставом Клетского сельского поселения, сельская Дума Клетского сельского поселения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Arial"/>
          <w:sz w:val="28"/>
          <w:szCs w:val="28"/>
          <w:lang w:eastAsia="ru-RU"/>
        </w:rPr>
        <w:t>1. У</w:t>
      </w:r>
      <w:r w:rsidRPr="004436F1">
        <w:rPr>
          <w:rFonts w:ascii="Times New Roman" w:eastAsiaTheme="minorEastAsia" w:hAnsi="Times New Roman"/>
          <w:sz w:val="28"/>
          <w:szCs w:val="28"/>
          <w:lang w:eastAsia="ru-RU"/>
        </w:rPr>
        <w:t xml:space="preserve">твердить муниципальную </w:t>
      </w:r>
      <w:r w:rsidRPr="004436F1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/>
          <w:sz w:val="28"/>
          <w:szCs w:val="28"/>
          <w:lang w:eastAsia="ru-RU"/>
        </w:rPr>
        <w:t>программу «Комплексное развитие систем транспортной инфраструктуры Клетского сельского поселения Среднеахтубинского муниципального района Волгоградской области на период 2018-2023 годы»» (приложение 1).</w:t>
      </w: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F1">
        <w:rPr>
          <w:rFonts w:ascii="Times New Roman" w:eastAsia="Calibri" w:hAnsi="Times New Roman" w:cs="Times New Roman"/>
          <w:sz w:val="28"/>
          <w:szCs w:val="28"/>
        </w:rPr>
        <w:t>Глава Клетского сельского поселения                                 Г.Р. Шахабов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2C0E04">
        <w:rPr>
          <w:rFonts w:ascii="Times New Roman" w:eastAsia="Times New Roman" w:hAnsi="Times New Roman" w:cs="Times New Roman"/>
          <w:lang w:eastAsia="ru-RU"/>
        </w:rPr>
        <w:t>1</w:t>
      </w:r>
      <w:r w:rsidRPr="004436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 xml:space="preserve">к решению сельской Думы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 xml:space="preserve">Клетского сельского поселения 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36F1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4436F1">
        <w:rPr>
          <w:rFonts w:ascii="Times New Roman" w:eastAsia="Times New Roman" w:hAnsi="Times New Roman" w:cs="Times New Roman"/>
          <w:lang w:eastAsia="ru-RU"/>
        </w:rPr>
        <w:t>.1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436F1">
        <w:rPr>
          <w:rFonts w:ascii="Times New Roman" w:eastAsia="Times New Roman" w:hAnsi="Times New Roman" w:cs="Times New Roman"/>
          <w:lang w:eastAsia="ru-RU"/>
        </w:rPr>
        <w:t>. 2017 года №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436F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ПАСПОРТ ПРОГРАММЫ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63"/>
        <w:gridCol w:w="5672"/>
      </w:tblGrid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комплексного развития систем транспортной инфраструктуры Клетского сельского поселения Среднеахтубинского муниципального района Волгоградской области на период 2018- 2023 годы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Федеральным законом от 29.12.2014 №456-ФЗ «О внесении изменений в Градостроительный кодекс Российской Федерации», Постановлением Правительства Российской Федерации от 25.12.2015 №1440»Об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tabs>
                <w:tab w:val="left" w:pos="708"/>
              </w:tabs>
              <w:spacing w:after="120"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36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Администрация Клетского сельского поселения Среднеахтубинского муниципального района Волгоградской  области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на территории поселения.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поселения. Развитие транспортной инфраструктуры, сбалансированное с градостроительной деятельностью в поселении, повышения эффективности функционирования. Создание приоритетных условий для обеспечения безопасности жизни и здоровья участников движения. Создание условий для пешеходного и велосипедного движения населения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2018- 2023 годы</w:t>
            </w:r>
          </w:p>
        </w:tc>
      </w:tr>
      <w:tr w:rsidR="004436F1" w:rsidRPr="004436F1" w:rsidTr="00682008">
        <w:trPr>
          <w:trHeight w:val="2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4436F1" w:rsidRPr="004436F1" w:rsidRDefault="004436F1" w:rsidP="004436F1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4436F1" w:rsidRPr="004436F1" w:rsidRDefault="004436F1" w:rsidP="004436F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Поэтапная реконструкция сетей транспортной инфраструктуры;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Поэтапная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направленная на увеличение эффективности транспортного обслуживания, повышение безопасности дорожного движения;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Поэтапное приведение технического уровня существующих автомобильных дорог в соответствие с нормативными требованиями</w:t>
            </w:r>
          </w:p>
        </w:tc>
      </w:tr>
      <w:tr w:rsidR="004436F1" w:rsidRPr="004436F1" w:rsidTr="0068200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осуществляется за счёт средств: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-бюджета сельского поселения 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муниципального бюджета</w:t>
            </w:r>
          </w:p>
          <w:p w:rsidR="004436F1" w:rsidRPr="004436F1" w:rsidRDefault="004436F1" w:rsidP="004436F1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регионального бюджета</w:t>
            </w:r>
          </w:p>
        </w:tc>
      </w:tr>
    </w:tbl>
    <w:p w:rsidR="004436F1" w:rsidRPr="004436F1" w:rsidRDefault="004436F1" w:rsidP="004436F1">
      <w:pPr>
        <w:spacing w:after="120"/>
        <w:rPr>
          <w:b/>
          <w:sz w:val="28"/>
          <w:szCs w:val="28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ХАРАКТЕРИСТИКА СУЩЕСТВУЮЩЕГО СОСТОЯНИЯ ТРАНСПОРТНОЙ ИНФРАСТРУКТУРЫ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2.1. Анализ положения поселения в структуре пространственной организации субъекта Российской Федерации.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Муниципальное образование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расположено в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Среднеахтубинском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 Волгоградской области, и граничит: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с территорией муниципального образования Ленинский муниципальный район;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с территорией муниципального образования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Светлоярский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муниципальный район; 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территорией муниципального образования Фрунзенское сельское поселение;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с территорией муниципального образования 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Суходольское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территорией муниципального образования  городское  поселение Краснослободск;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sz w:val="28"/>
          <w:szCs w:val="28"/>
          <w:lang w:eastAsia="ru-RU"/>
        </w:rPr>
        <w:tab/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поселение, состоящее из 8</w:t>
      </w:r>
      <w:r w:rsidRPr="004436F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хуторов: 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Репино, Щучий, Прыщевка, Тумак, Ямы, Пламенка, Клетский, Кривуши, является муниципальным образованием,  находящемся в составе Среднеахтубинского муниципального района Волгоградской области, и расположено на юге муниципального района.</w:t>
      </w:r>
      <w:proofErr w:type="gramEnd"/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 земель в границах Клетского сельского поселения составляет</w:t>
      </w:r>
      <w:r w:rsidRPr="00443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5,91</w:t>
      </w:r>
      <w:r w:rsidRPr="00443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proofErr w:type="gram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End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численностью населения на 1 января 2017 года -  4 629 человек,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Территория Клетского сельского поселения  находится в границах природного парка «Волго-</w:t>
      </w:r>
      <w:proofErr w:type="spellStart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пойма».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2.2.Социально-экономическая характеристика поселения, характеристика градостроительной деятельности на территории </w:t>
      </w: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поселения, деятельность в сфере транспорта, оценка транспортного спроса.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Стабильное улучшение качества жизни всех слоев населения, являющееся главной целью развития Клетского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населенных пунктов образует социальную инфраструктуру. Трудоспособное население имеет сферы приложения труда, как в экономике поселения, так и в городах Волгоград и Волжский, используя транспортную доступность для осуществления трудовой деятельности.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 территории поселения расположены: </w:t>
      </w:r>
      <w:r w:rsidRPr="004436F1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дошкольных учреждения, 2 учреждения начального и 4 учреждения среднего образования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Клетская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сельская амбулатория, сельский Дом культуры, библиотеки, на базе сельского Дома культуры, 23 предприятия торговли, 1 предприятие жилищно-коммунального направления деятельности, 6 почтовых отделений.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2.3. Показатели работы транспортной инфраструктуры по видам транспорта.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Транспортный комплекс Клетского сельского поселения представлен автомобильным видом транспорта. Каркас транспортной сети поселения формируется дорогами: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Межмуниципального или регионального значения: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автодорога «Краснослободск -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Репино» протяженность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38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км</w:t>
      </w:r>
      <w:r w:rsidRPr="004436F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асфальтобетонным покрытием;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-автодорога «Краснослободск –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Тумак – Ямы» -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30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км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асфальтобетонным покрытием;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Местного значения </w:t>
      </w:r>
      <w:r w:rsidRPr="004436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41 км 350</w:t>
      </w:r>
      <w:r w:rsidRPr="004436F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м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6F1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436F1">
        <w:rPr>
          <w:rFonts w:ascii="Times New Roman" w:eastAsiaTheme="minorEastAsia" w:hAnsi="Times New Roman" w:cs="Times New Roman"/>
          <w:lang w:eastAsia="ru-RU"/>
        </w:rPr>
        <w:t>Таблица 1.</w:t>
      </w:r>
    </w:p>
    <w:p w:rsidR="004436F1" w:rsidRPr="004436F1" w:rsidRDefault="004436F1" w:rsidP="004436F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</w:pPr>
      <w:r w:rsidRPr="004436F1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>Перечень автомобильных дорог общего пользования местного значения в Клетском сельском поселении.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4436F1" w:rsidRPr="004436F1" w:rsidTr="00682008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436F1">
              <w:rPr>
                <w:rFonts w:ascii="Times New Roman" w:eastAsia="Lucida Sans Unicode" w:hAnsi="Times New Roman" w:cs="Times New Roman"/>
                <w:b/>
                <w:kern w:val="3"/>
                <w:lang w:eastAsia="ru-RU"/>
              </w:rPr>
              <w:t>х. Клетский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Мелиораторов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Республиканская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510"/>
        </w:trPr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Строителей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 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Кривуши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Протасова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Лесной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Профсоюзная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Прямая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Пламенка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Старая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бетонное покрытие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Прыщевка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Озерная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Репино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 частично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Тумак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Щучий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Бухарская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Историческая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Колымская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Магаданская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rPr>
          <w:trHeight w:val="214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Ямы</w:t>
            </w:r>
          </w:p>
        </w:tc>
      </w:tr>
      <w:tr w:rsidR="004436F1" w:rsidRPr="004436F1" w:rsidTr="00682008">
        <w:trPr>
          <w:trHeight w:val="251"/>
        </w:trPr>
        <w:tc>
          <w:tcPr>
            <w:tcW w:w="7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Тульская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Продольная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Базовский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Межселенные дороги хуторов, составляющих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Клетское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поселение, не имеют твердого покрытия.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Всего протяженность улично-дорожной сети в Клетском сельском поселении составляет – 41 350 м.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Все населенные пункты поселения имеют устойчивую автотранспортную связь с административным центром поселения и районным центром.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поселения.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Маршрутная система автобусного транспорта в МО развита не достаточно. Обслуживает население автотранспортом индивидуальный предприниматель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Власкин</w:t>
      </w:r>
      <w:proofErr w:type="spell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А., по согласованному с администрацией Среднеахтубинского муниципального района расписанию.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ПРОГНОЗ ТРАНСПОРТНОГО СПРОСА,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ИЗМЕНЕНИЯ ОБЪЕМОВ И ХАРАКТЕРИСТЕРА 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ПЕРЕДВИЖЕНИЯ НАСЕЛЕНИЯ И ПЕРЕВОЗОК ГРУЗОВ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ТЕРРИТОРИИ КЛЕТСКОГО СЕЛЬСКОГО ПОСЕЛЕНИЯ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статистическим анализом Федеральной службы государственной статистики уровень автомобилизации неуклонно растет и к 2030г достигнет 350 автомобилей на 1000 человек.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Планировочная структура населенных пунктов поселения имеет четкую сетку улиц с квартальной застройкой.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мае 2017 года сельской Думой Клетского сельского поселения принято решении о принятии на балансовый учет межселенные дороги хуторов, входящие в состав Клетского сельского поселения с целью развития транспортной инфраструктуры, улучшения благоустройства территории, транспортной доступности, возможности развития малого и среднего предпринимательства.</w:t>
      </w: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решения вопроса о развитии системы транспортной инфраструктуры, согласно генеральному плану территории Клетского сельского поселения в составе Среднеахтубинского  муниципального района,  предлагается: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</w:t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населенных пунктах, по территории которых проходят трассы автомобильных дорог регионального значения, а также в местах пересечения автомобильных дорог для повышения безопасности движения необходимо предусмотреть средства регулирования движения транспортного потока (пешеходные полосы, искусственные дорожные неровности и </w:t>
      </w:r>
      <w:proofErr w:type="spell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приведение технического уровня межселенных дорог в соответствие с нормативными требованиями, реконструкция ряда существующих дорог, при которой предусмотреть их благоустройство и возможно с устройством усовершенствованного покрытия, геометрии пересечения улиц в одном уровне, уширение проезжей части перед перекрестками;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автобусных павильонов на остановках по маршрутам автобусного сообщения, ремонт дорожной одежды в целях обеспечения безопасности дорожного движения;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парковочных мест, автостоянок, гаражей для постоянного хранения автомобилей;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размещение объектов дорожного сервиса, производственных объектов и отдельных элементов </w:t>
      </w:r>
      <w:proofErr w:type="gramStart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обустройства</w:t>
      </w:r>
      <w:proofErr w:type="gramEnd"/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на расчетный срок строительство автодороги общего пользования местного значения в х. Репино протяженностью 1500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на расчетный срок строительство автодороги общего пользования местного значения в х. Клетский общей  протяженностью не менее 3900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расчетный срок строительство автодороги общего пользования местного значения в х. Кривуши общей протяженностью не менее 800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Щучий общей протяженностью не менее 1000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строительство дороги общего пользования местного значения в х. Тумак общей протяженностью не менее 1500 м;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Ямы общей протяженностью не менее 1500 м;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строительство дороги общего пользования местного значения в х. Прыщевка общей протяженностью не менее 1200 м.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Всего общая протяженность проектируемых дорог общего пользования, при возможности с твердым покрытием,  на расчетный срок составит 11 200 м.</w:t>
      </w:r>
    </w:p>
    <w:p w:rsidR="004436F1" w:rsidRPr="004436F1" w:rsidRDefault="004436F1" w:rsidP="004436F1">
      <w:pPr>
        <w:spacing w:after="120"/>
        <w:ind w:firstLine="425"/>
        <w:jc w:val="both"/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МЕРОПРИЯТИЙ ПО ПРОЕКТИРОВАНИЮ, СТРОИТЕЛЬСТВУ, 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ОЧЕРЕДЬ РЕАЛИЗАЦИИ МЕРОПРИЯТИЙ 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436F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Таблица 2.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1.Ремонт покрытия автомобильных дорог общего пользования местного значения в Клетском сельском поселении</w:t>
      </w: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942"/>
        <w:gridCol w:w="1402"/>
        <w:gridCol w:w="2285"/>
        <w:gridCol w:w="2284"/>
      </w:tblGrid>
      <w:tr w:rsidR="004436F1" w:rsidRPr="004436F1" w:rsidTr="00682008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Год проведения работ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ru-RU"/>
              </w:rPr>
              <w:t>х. Клетский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Виноградная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Микрорайон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Репино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Новостройка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Репинский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Кривуши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Тумак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Новоселов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Ямы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Тульска</w:t>
            </w:r>
            <w:bookmarkStart w:id="0" w:name="_GoBack"/>
            <w:bookmarkEnd w:id="0"/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Заволжская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Прыщевка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щебень 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436F1" w:rsidRPr="004436F1" w:rsidTr="00682008">
        <w:tc>
          <w:tcPr>
            <w:tcW w:w="963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х. Щучий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Ангарская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Тепличный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Подъезды к многоквартирным домам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подъезды к кладбищам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песок, щебень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4436F1" w:rsidRPr="004436F1" w:rsidTr="00682008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6F1" w:rsidRPr="004436F1" w:rsidRDefault="004436F1" w:rsidP="004436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36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436F1" w:rsidRPr="004436F1" w:rsidRDefault="004436F1" w:rsidP="004436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3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6F1">
        <w:rPr>
          <w:rFonts w:eastAsiaTheme="minorEastAsia"/>
          <w:lang w:eastAsia="ru-RU"/>
        </w:rPr>
        <w:tab/>
      </w:r>
      <w:r w:rsidRPr="004436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бюджет Среднеахтубинского муниципального района, бюджет Клетского сельского поселения, средства дорожных фондов, инвестиции и внебюджетные средства.</w:t>
      </w:r>
    </w:p>
    <w:p w:rsidR="004436F1" w:rsidRPr="004436F1" w:rsidRDefault="004436F1" w:rsidP="004436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866" w:rsidRDefault="006F4866"/>
    <w:sectPr w:rsidR="006F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0885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F607A3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63C07"/>
    <w:multiLevelType w:val="hybridMultilevel"/>
    <w:tmpl w:val="E63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1"/>
    <w:rsid w:val="002C0E04"/>
    <w:rsid w:val="004436F1"/>
    <w:rsid w:val="006F4866"/>
    <w:rsid w:val="00E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4436F1"/>
    <w:rPr>
      <w:color w:val="0000FF"/>
      <w:u w:val="single"/>
    </w:rPr>
  </w:style>
  <w:style w:type="table" w:styleId="a5">
    <w:name w:val="Table Grid"/>
    <w:basedOn w:val="a1"/>
    <w:uiPriority w:val="59"/>
    <w:rsid w:val="004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6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436F1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Standard">
    <w:name w:val="Standard"/>
    <w:rsid w:val="004436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4436F1"/>
    <w:pPr>
      <w:suppressLineNumbers/>
    </w:pPr>
  </w:style>
  <w:style w:type="paragraph" w:customStyle="1" w:styleId="ConsPlusTitle">
    <w:name w:val="ConsPlusTitle"/>
    <w:rsid w:val="00443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36F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36F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436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6.10.2003-N-131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2017-12-25T11:18:00Z</dcterms:created>
  <dcterms:modified xsi:type="dcterms:W3CDTF">2017-12-29T07:19:00Z</dcterms:modified>
</cp:coreProperties>
</file>